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196A9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1123"/>
        <w:gridCol w:w="1045"/>
        <w:gridCol w:w="1559"/>
      </w:tblGrid>
      <w:tr w:rsidR="00380FC6" w:rsidRPr="00FC5A71" w:rsidTr="00021E5C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8B1B9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Желудочная трубка размер под заказ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6 280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2 198 000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8B1B9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ИГЛА для спинальной анестезии,  Тип </w:t>
            </w:r>
            <w:proofErr w:type="spell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размер 20 G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410 000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8B1B9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 для аспирации верхних дыхательных путей размер под заказ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344 000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(стилет) для интубации длина 225 мм стерильный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(стилет) для интубации длина 335 мм стерильный (трубки 5-8)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вливания в малые вены с иглой-бабочкой 23G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 безболезненный 1,8мм  21 G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127 500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D81655" w:rsidP="00D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Стаканчик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Небулайзерная</w:t>
            </w:r>
            <w:proofErr w:type="spellEnd"/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камера с прямоточной системой подачи аэрозоля </w:t>
            </w:r>
            <w:proofErr w:type="gramStart"/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компрессорного </w:t>
            </w:r>
            <w:proofErr w:type="spellStart"/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3 900 000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трубка с манжетой размер под заказ 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720 000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Удлинитель для </w:t>
            </w:r>
            <w:proofErr w:type="spell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насосов, длина 150 см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1 920 000</w:t>
            </w:r>
          </w:p>
        </w:tc>
      </w:tr>
      <w:tr w:rsidR="00021E5C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021E5C" w:rsidRPr="00FC5A71" w:rsidRDefault="00043896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5C" w:rsidRPr="00E60B93" w:rsidRDefault="00021E5C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одноразовый инъекционный 2 мл, с иглой 23G,  3-х комп</w:t>
            </w:r>
          </w:p>
        </w:tc>
        <w:tc>
          <w:tcPr>
            <w:tcW w:w="1145" w:type="dxa"/>
            <w:shd w:val="clear" w:color="auto" w:fill="auto"/>
            <w:noWrap/>
          </w:tcPr>
          <w:p w:rsidR="00021E5C" w:rsidRPr="00E60B93" w:rsidRDefault="00021E5C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021E5C" w:rsidRPr="00E60B93" w:rsidRDefault="00021E5C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180 175</w:t>
            </w:r>
          </w:p>
        </w:tc>
        <w:tc>
          <w:tcPr>
            <w:tcW w:w="1045" w:type="dxa"/>
            <w:shd w:val="clear" w:color="auto" w:fill="auto"/>
            <w:noWrap/>
          </w:tcPr>
          <w:p w:rsidR="00021E5C" w:rsidRPr="00E60B93" w:rsidRDefault="00021E5C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</w:tcPr>
          <w:p w:rsidR="00021E5C" w:rsidRPr="00E60B93" w:rsidRDefault="00021E5C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6 125 950</w:t>
            </w:r>
          </w:p>
        </w:tc>
      </w:tr>
      <w:tr w:rsidR="00021E5C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021E5C" w:rsidRPr="00FC5A71" w:rsidRDefault="00043896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5C" w:rsidRPr="00E60B93" w:rsidRDefault="00021E5C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одноразовый инъекционный 5 мл стерильный 3-х комп</w:t>
            </w:r>
          </w:p>
        </w:tc>
        <w:tc>
          <w:tcPr>
            <w:tcW w:w="1145" w:type="dxa"/>
            <w:shd w:val="clear" w:color="auto" w:fill="auto"/>
            <w:noWrap/>
          </w:tcPr>
          <w:p w:rsidR="00021E5C" w:rsidRPr="00E60B93" w:rsidRDefault="00021E5C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021E5C" w:rsidRPr="00E60B93" w:rsidRDefault="00021E5C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170 165</w:t>
            </w:r>
          </w:p>
        </w:tc>
        <w:tc>
          <w:tcPr>
            <w:tcW w:w="1045" w:type="dxa"/>
            <w:shd w:val="clear" w:color="auto" w:fill="auto"/>
            <w:noWrap/>
          </w:tcPr>
          <w:p w:rsidR="00021E5C" w:rsidRPr="00E60B93" w:rsidRDefault="00021E5C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</w:tcPr>
          <w:p w:rsidR="00021E5C" w:rsidRPr="00E60B93" w:rsidRDefault="00021E5C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6 125 940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одноразовый инъекционный 10 мл стерильный 3-х комп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одноразовый инъекционный 20 мл стерильный 3-х комп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5 808 000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одноразовый стерильный 50 мл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184 000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Однораз</w:t>
            </w:r>
            <w:proofErr w:type="gramStart"/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</w:t>
            </w:r>
            <w:proofErr w:type="spellEnd"/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мочи (60 мл)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334 900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55" w:rsidRPr="00E60B93" w:rsidRDefault="008B1B91" w:rsidP="00D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</w:t>
            </w:r>
            <w:proofErr w:type="spell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размер</w:t>
            </w: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заказ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23 830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6 124 310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</w:t>
            </w:r>
            <w:proofErr w:type="spell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катеризаций</w:t>
            </w:r>
            <w:proofErr w:type="spellEnd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крупных сосудов (по </w:t>
            </w:r>
            <w:proofErr w:type="spell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Сильденгеру</w:t>
            </w:r>
            <w:proofErr w:type="spellEnd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одноканальный Педиатрический размер под заказ 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6 123 000</w:t>
            </w:r>
          </w:p>
        </w:tc>
      </w:tr>
      <w:tr w:rsidR="00917453" w:rsidRPr="00917453" w:rsidTr="0060404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043896" w:rsidRPr="00917453" w:rsidRDefault="00043896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4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 одноканальным катетером </w:t>
            </w: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постановки по методу </w:t>
            </w:r>
            <w:proofErr w:type="spell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Сельдингера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возможностью ЭКГ-контроля положения катетера для применения в педиатрии и </w:t>
            </w:r>
            <w:proofErr w:type="spell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неонаталогии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Игла </w:t>
            </w:r>
            <w:proofErr w:type="spell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Сельдингера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S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Изгибоустойчивый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проводник с J-наконечником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Одноканальный катетер 22 G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 </w:t>
            </w:r>
            <w:proofErr w:type="gram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ПУР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Мягкий кончик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Разметка по длине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Непрозрачный, </w:t>
            </w:r>
            <w:proofErr w:type="spell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-контрастный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Надежный прозрачный фиксатор крыльев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Мягкий, самоклеящийся фиксатор катетера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Принадлежности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Удлинительная </w:t>
            </w:r>
            <w:proofErr w:type="spellStart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линия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Трехходовой кран</w:t>
            </w:r>
          </w:p>
          <w:p w:rsidR="007B3BE4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Стерильный скальпель</w:t>
            </w:r>
          </w:p>
          <w:p w:rsidR="00043896" w:rsidRPr="00917453" w:rsidRDefault="007B3BE4" w:rsidP="007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Соединительный ЭКГ-кабель</w:t>
            </w:r>
          </w:p>
        </w:tc>
        <w:tc>
          <w:tcPr>
            <w:tcW w:w="1145" w:type="dxa"/>
            <w:shd w:val="clear" w:color="auto" w:fill="auto"/>
            <w:noWrap/>
          </w:tcPr>
          <w:p w:rsidR="00043896" w:rsidRPr="00917453" w:rsidRDefault="00043896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043896" w:rsidRPr="00917453" w:rsidRDefault="00043896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shd w:val="clear" w:color="auto" w:fill="auto"/>
            <w:noWrap/>
          </w:tcPr>
          <w:p w:rsidR="00043896" w:rsidRPr="00917453" w:rsidRDefault="00043896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559" w:type="dxa"/>
            <w:shd w:val="clear" w:color="auto" w:fill="auto"/>
            <w:noWrap/>
          </w:tcPr>
          <w:p w:rsidR="00043896" w:rsidRPr="00917453" w:rsidRDefault="00043896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917453" w:rsidRDefault="0004389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4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26" w:rsidRPr="00917453" w:rsidRDefault="003D5F26" w:rsidP="003D5F26">
            <w:pPr>
              <w:spacing w:after="0" w:line="240" w:lineRule="auto"/>
              <w:jc w:val="both"/>
              <w:rPr>
                <w:rStyle w:val="s0"/>
                <w:sz w:val="18"/>
                <w:szCs w:val="18"/>
              </w:rPr>
            </w:pPr>
            <w:r w:rsidRPr="00917453">
              <w:rPr>
                <w:rStyle w:val="s0"/>
                <w:sz w:val="24"/>
                <w:szCs w:val="24"/>
              </w:rPr>
              <w:t xml:space="preserve">Облучатель </w:t>
            </w:r>
            <w:proofErr w:type="spellStart"/>
            <w:r w:rsidRPr="00917453">
              <w:rPr>
                <w:rStyle w:val="s0"/>
                <w:sz w:val="24"/>
                <w:szCs w:val="24"/>
              </w:rPr>
              <w:t>фототерапевтический</w:t>
            </w:r>
            <w:proofErr w:type="spellEnd"/>
            <w:r w:rsidRPr="00917453">
              <w:rPr>
                <w:rStyle w:val="s0"/>
                <w:sz w:val="24"/>
                <w:szCs w:val="24"/>
              </w:rPr>
              <w:t xml:space="preserve"> для лечения желтухи новорожденных:</w:t>
            </w:r>
            <w:r w:rsidRPr="00917453">
              <w:rPr>
                <w:rStyle w:val="s0"/>
                <w:sz w:val="18"/>
                <w:szCs w:val="18"/>
              </w:rPr>
              <w:t xml:space="preserve"> предназначен для облучения новорожденного «синими» лучами в спектре волн длиной 420…470 </w:t>
            </w:r>
            <w:proofErr w:type="spellStart"/>
            <w:r w:rsidRPr="00917453">
              <w:rPr>
                <w:rStyle w:val="s0"/>
                <w:sz w:val="18"/>
                <w:szCs w:val="18"/>
              </w:rPr>
              <w:t>нм</w:t>
            </w:r>
            <w:proofErr w:type="spellEnd"/>
            <w:r w:rsidRPr="00917453">
              <w:rPr>
                <w:rStyle w:val="s0"/>
                <w:sz w:val="18"/>
                <w:szCs w:val="18"/>
              </w:rPr>
              <w:t xml:space="preserve"> с целью уменьшения процентного содержания билирубина в крови. </w:t>
            </w:r>
          </w:p>
          <w:p w:rsidR="003D5F26" w:rsidRPr="00917453" w:rsidRDefault="003D5F26" w:rsidP="003D5F26">
            <w:pPr>
              <w:spacing w:after="0" w:line="240" w:lineRule="auto"/>
              <w:jc w:val="both"/>
              <w:rPr>
                <w:rStyle w:val="s0"/>
                <w:sz w:val="18"/>
                <w:szCs w:val="18"/>
              </w:rPr>
            </w:pPr>
            <w:r w:rsidRPr="00917453">
              <w:rPr>
                <w:rStyle w:val="s0"/>
                <w:sz w:val="18"/>
                <w:szCs w:val="18"/>
              </w:rPr>
              <w:t>ТЕХНИЧЕСКИЕ ХАРАКТЕРИСТИКИ:</w:t>
            </w:r>
          </w:p>
          <w:p w:rsidR="003D5F26" w:rsidRPr="00917453" w:rsidRDefault="003D5F26" w:rsidP="003D5F26">
            <w:pPr>
              <w:pStyle w:val="af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Длительность сеанса фототерапии - до 99 ч 59 мин;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>Интенсивность излучения - от 500 до 1500 мкВт/см 2;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 xml:space="preserve">Длина волны излучения - 465+15 </w:t>
            </w:r>
            <w:proofErr w:type="spellStart"/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нм</w:t>
            </w:r>
            <w:proofErr w:type="spellEnd"/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>Диапазон изменения угла наклона блока излучения - до 90°;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>Диапазон регулирования устройства по высоте - от 1290 до 1690 мм;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>Питание от сети переменного тока - 220В/50Гц;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>Потребляемая мощность - 45 ВА;</w:t>
            </w:r>
            <w:proofErr w:type="gramEnd"/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>Габаритные размеры - 720х700х1690 мм;</w:t>
            </w: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br/>
              <w:t xml:space="preserve">Масса облучателя - 13 кг; </w:t>
            </w:r>
          </w:p>
          <w:p w:rsidR="003D5F26" w:rsidRPr="00917453" w:rsidRDefault="003D5F26" w:rsidP="003D5F26">
            <w:pPr>
              <w:spacing w:after="0" w:line="240" w:lineRule="auto"/>
              <w:rPr>
                <w:rStyle w:val="s0"/>
                <w:sz w:val="18"/>
                <w:szCs w:val="18"/>
              </w:rPr>
            </w:pPr>
            <w:r w:rsidRPr="00917453">
              <w:rPr>
                <w:rStyle w:val="s0"/>
                <w:sz w:val="18"/>
                <w:szCs w:val="18"/>
              </w:rPr>
              <w:t xml:space="preserve">Особенности и преимущества облучателя; </w:t>
            </w:r>
            <w:proofErr w:type="spellStart"/>
            <w:r w:rsidRPr="00917453">
              <w:rPr>
                <w:rStyle w:val="s0"/>
                <w:sz w:val="18"/>
                <w:szCs w:val="18"/>
              </w:rPr>
              <w:t>фототерапевтического</w:t>
            </w:r>
            <w:proofErr w:type="spellEnd"/>
            <w:r w:rsidRPr="00917453">
              <w:rPr>
                <w:rStyle w:val="s0"/>
                <w:sz w:val="18"/>
                <w:szCs w:val="18"/>
              </w:rPr>
              <w:t xml:space="preserve"> для лечения желтухи новорожденных: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1. Обеспечивает индикацию заданного времени сеанса облучения, а также индикацию текущего времени сеанса облучения с точностью до минуты;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2. Автоматическое выключение;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3. Наличие сигнализации окончания сеанса облучения;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4. Наличие 4-х обрезиненных колес, два из которых оснащены тормозом;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5. Наличие механизма регулировки высоты облучателя над кроваткой, а также угла наклона от горизонтальной плоскости на угол до 90°;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 xml:space="preserve">6. Использование </w:t>
            </w:r>
            <w:proofErr w:type="spellStart"/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сверхярких</w:t>
            </w:r>
            <w:proofErr w:type="spellEnd"/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 xml:space="preserve"> светодиодов обеспечивает увеличение времени эксплуатации до 50 000 часов, увеличение интенсивности излучения и уменьшение мощности потребления;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7. Блок облучателя выполнен из пластикового корпуса;</w:t>
            </w:r>
          </w:p>
          <w:p w:rsidR="00236656" w:rsidRPr="00917453" w:rsidRDefault="00236656" w:rsidP="00236656">
            <w:pPr>
              <w:pStyle w:val="af"/>
              <w:tabs>
                <w:tab w:val="left" w:pos="0"/>
              </w:tabs>
              <w:jc w:val="both"/>
              <w:rPr>
                <w:rStyle w:val="s0"/>
                <w:rFonts w:eastAsiaTheme="minorEastAsia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8. Наличие пленочной клавиатуры на лицевой стороне блока облучателя;</w:t>
            </w:r>
          </w:p>
          <w:p w:rsidR="00FA0821" w:rsidRPr="00236656" w:rsidRDefault="00236656" w:rsidP="00236656">
            <w:pPr>
              <w:pStyle w:val="af"/>
              <w:tabs>
                <w:tab w:val="left" w:pos="0"/>
              </w:tabs>
              <w:jc w:val="both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917453">
              <w:rPr>
                <w:rStyle w:val="s0"/>
                <w:rFonts w:eastAsiaTheme="minorEastAsia"/>
                <w:sz w:val="18"/>
                <w:szCs w:val="18"/>
                <w:lang w:eastAsia="ru-RU"/>
              </w:rPr>
              <w:t>9. Небольшие габариты и вес.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91745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4 250 000</w:t>
            </w:r>
          </w:p>
        </w:tc>
      </w:tr>
      <w:tr w:rsidR="008B1B91" w:rsidRPr="00D572A0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917453" w:rsidRDefault="009D598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4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9" w:rsidRPr="00917453" w:rsidRDefault="008B1B91" w:rsidP="009D5989">
            <w:pPr>
              <w:spacing w:after="0"/>
              <w:rPr>
                <w:sz w:val="18"/>
                <w:szCs w:val="18"/>
              </w:rPr>
            </w:pPr>
            <w:proofErr w:type="spellStart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50 куб</w:t>
            </w:r>
            <w:r w:rsidR="009D5989"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D5989" w:rsidRPr="00917453">
              <w:rPr>
                <w:sz w:val="18"/>
                <w:szCs w:val="18"/>
              </w:rPr>
              <w:t xml:space="preserve">Имеет конструкцию с двумя лампами, снабжен электронным блоком управления и может работать в присутствии. Использование ультрафиолетового бактерицидного излучения для обеззараживания воздуха в </w:t>
            </w:r>
            <w:r w:rsidR="009D5989" w:rsidRPr="00917453">
              <w:rPr>
                <w:sz w:val="18"/>
                <w:szCs w:val="18"/>
              </w:rPr>
              <w:lastRenderedPageBreak/>
              <w:t xml:space="preserve">помещениях. Особенности </w:t>
            </w:r>
            <w:proofErr w:type="spellStart"/>
            <w:r w:rsidR="009D5989" w:rsidRPr="00917453">
              <w:rPr>
                <w:sz w:val="18"/>
                <w:szCs w:val="18"/>
              </w:rPr>
              <w:t>рециркулятора</w:t>
            </w:r>
            <w:proofErr w:type="spellEnd"/>
            <w:r w:rsidR="009D5989" w:rsidRPr="00917453">
              <w:rPr>
                <w:sz w:val="18"/>
                <w:szCs w:val="18"/>
              </w:rPr>
              <w:t>: одно устройства достаточно для обеззараживания помещений объемом до 50 кубических метров, используется в помещениях II-V категорий,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может работать в помещениях с людьми (II - V категорий), работает с двумя лампами на 15 W,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используется для снижения уровня микробов в воздухе, особенно </w:t>
            </w:r>
            <w:proofErr w:type="gramStart"/>
            <w:r w:rsidRPr="00917453">
              <w:rPr>
                <w:sz w:val="18"/>
                <w:szCs w:val="18"/>
              </w:rPr>
              <w:t>эффективен</w:t>
            </w:r>
            <w:proofErr w:type="gramEnd"/>
            <w:r w:rsidRPr="00917453">
              <w:rPr>
                <w:sz w:val="18"/>
                <w:szCs w:val="18"/>
              </w:rPr>
              <w:t xml:space="preserve"> против ОРВИ,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в отсутствие людей используется как заключительный этап гигиенических мероприятий,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работа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возможна как в закрепленном, так и передвижном варианте. 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Настенный облучатель закрепляется в горизонтальном или вертикальном виде.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ОСНОВНЫЕ ТЕХНИЧЕСКИЕ ХАРАКТЕРИСТИКИ: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1.Рециркулятор работает от сети переменного тока напряжением 220±22</w:t>
            </w:r>
            <w:proofErr w:type="gramStart"/>
            <w:r w:rsidRPr="00917453">
              <w:rPr>
                <w:sz w:val="18"/>
                <w:szCs w:val="18"/>
              </w:rPr>
              <w:t xml:space="preserve"> В</w:t>
            </w:r>
            <w:proofErr w:type="gramEnd"/>
            <w:r w:rsidRPr="00917453">
              <w:rPr>
                <w:sz w:val="18"/>
                <w:szCs w:val="18"/>
              </w:rPr>
              <w:t>, частотой 50 Гц.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2.Мощность, потребляемая </w:t>
            </w:r>
            <w:proofErr w:type="spellStart"/>
            <w:r w:rsidRPr="00917453">
              <w:rPr>
                <w:sz w:val="18"/>
                <w:szCs w:val="18"/>
              </w:rPr>
              <w:t>рециркулятором</w:t>
            </w:r>
            <w:proofErr w:type="spellEnd"/>
            <w:r w:rsidRPr="00917453">
              <w:rPr>
                <w:sz w:val="18"/>
                <w:szCs w:val="18"/>
              </w:rPr>
              <w:t xml:space="preserve"> от сети переменного тока, не более 200 ВА.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3.Облученность от источника </w:t>
            </w:r>
            <w:proofErr w:type="gramStart"/>
            <w:r w:rsidRPr="00917453">
              <w:rPr>
                <w:sz w:val="18"/>
                <w:szCs w:val="18"/>
              </w:rPr>
              <w:t>УФ-излучения</w:t>
            </w:r>
            <w:proofErr w:type="gramEnd"/>
            <w:r w:rsidRPr="00917453">
              <w:rPr>
                <w:sz w:val="18"/>
                <w:szCs w:val="18"/>
              </w:rPr>
              <w:t xml:space="preserve"> на расстоянии 1 м на длине волны в диапазоне 253,7 </w:t>
            </w:r>
            <w:proofErr w:type="spellStart"/>
            <w:r w:rsidRPr="00917453">
              <w:rPr>
                <w:sz w:val="18"/>
                <w:szCs w:val="18"/>
              </w:rPr>
              <w:t>нм</w:t>
            </w:r>
            <w:proofErr w:type="spellEnd"/>
            <w:r w:rsidRPr="00917453">
              <w:rPr>
                <w:sz w:val="18"/>
                <w:szCs w:val="18"/>
              </w:rPr>
              <w:t xml:space="preserve"> не менее 1 Вт/м кв. Источник УФ-излучения - две бактерицидные ртутные лампы низкого давления мощностью 15W, не образующие озон в процессе горения. Для изготовления ламп применяется специальное стекло, обладающее высоким коэффициентом пропускания бактерицидных ультрафиолетовых лучей, и одновременно поглощающее излучение ниже 200 </w:t>
            </w:r>
            <w:proofErr w:type="spellStart"/>
            <w:r w:rsidRPr="00917453">
              <w:rPr>
                <w:sz w:val="18"/>
                <w:szCs w:val="18"/>
              </w:rPr>
              <w:t>нм</w:t>
            </w:r>
            <w:proofErr w:type="spellEnd"/>
            <w:r w:rsidRPr="00917453">
              <w:rPr>
                <w:sz w:val="18"/>
                <w:szCs w:val="18"/>
              </w:rPr>
              <w:t>, образующее из воздуха озон. Благодаря этому фиксируется предельно малое образование озона (в пределах ПДК), которое исчезает полностью приблизительно через 100 часов работы лампы. Средний срок службы ламп при правильной эксплуатации и уходе не менее 9000 часов.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4.Время непрерывной работы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не более 7 суток. Перерыв между включениями не регламентирован.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5.Время выхода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на рабочий режим должно быть не более 1 мин.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6.По требованиям безопасности </w:t>
            </w:r>
            <w:proofErr w:type="spellStart"/>
            <w:r w:rsidRPr="00917453">
              <w:rPr>
                <w:sz w:val="18"/>
                <w:szCs w:val="18"/>
              </w:rPr>
              <w:t>рециркулятор</w:t>
            </w:r>
            <w:proofErr w:type="spellEnd"/>
            <w:r w:rsidRPr="00917453">
              <w:rPr>
                <w:sz w:val="18"/>
                <w:szCs w:val="18"/>
              </w:rPr>
              <w:t xml:space="preserve"> является изделием класса I тип В по ГОСТ </w:t>
            </w:r>
            <w:proofErr w:type="gramStart"/>
            <w:r w:rsidRPr="00917453">
              <w:rPr>
                <w:sz w:val="18"/>
                <w:szCs w:val="18"/>
              </w:rPr>
              <w:t>Р</w:t>
            </w:r>
            <w:proofErr w:type="gramEnd"/>
            <w:r w:rsidRPr="00917453">
              <w:rPr>
                <w:sz w:val="18"/>
                <w:szCs w:val="18"/>
              </w:rPr>
              <w:t xml:space="preserve"> 50267.0-92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7.Габаритные размеры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755 х 115 х 170 мм.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8.Масса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не более 4,5 кг.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9.Средняя наработка на отказ не менее 1500 часов.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10.Средний срок службы не менее 5 лет.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11.Наружные поверхности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выполнены из металла, покрытого порошковой краской и ударопрочного, химически стойкого поликарбоната и допускают дезинфекцию способом протирания дезинфицирующими средствами, зарегистрированными и разрешенными в РФ для дезинфекции поверхностей по режимам, регламентированным действующими документами по применению дезинфицирующих средств, утвержденными в установленном порядке.</w:t>
            </w:r>
          </w:p>
          <w:p w:rsidR="009D5989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lastRenderedPageBreak/>
              <w:t xml:space="preserve">12.Условия эксплуатации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соответствуют климатическому исполнению УХЛ 4.2 по ГОСТ </w:t>
            </w:r>
            <w:proofErr w:type="gramStart"/>
            <w:r w:rsidRPr="00917453">
              <w:rPr>
                <w:sz w:val="18"/>
                <w:szCs w:val="18"/>
              </w:rPr>
              <w:t>Р</w:t>
            </w:r>
            <w:proofErr w:type="gramEnd"/>
            <w:r w:rsidRPr="00917453">
              <w:rPr>
                <w:sz w:val="18"/>
                <w:szCs w:val="18"/>
              </w:rPr>
              <w:t xml:space="preserve"> 50444-92: температура от +10 С до + 35 C ; относительная влажность 80 % при температуре 25 С, давление - 630-800 мм. рт. Ст</w:t>
            </w:r>
            <w:proofErr w:type="gramStart"/>
            <w:r w:rsidRPr="00917453">
              <w:rPr>
                <w:sz w:val="18"/>
                <w:szCs w:val="18"/>
              </w:rPr>
              <w:t>..</w:t>
            </w:r>
            <w:proofErr w:type="gramEnd"/>
          </w:p>
          <w:p w:rsidR="008B1B91" w:rsidRPr="00917453" w:rsidRDefault="009D5989" w:rsidP="009D5989">
            <w:pPr>
              <w:spacing w:after="0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13.Общая выходная мощность воздушного потока (производительность) при номинальном напряжении - 60 куб. м/ час. Для обеспечения необходимой выходной мощности воздушного потока применен вентилятор с уровнем звуковой мощности не более 55 </w:t>
            </w:r>
            <w:proofErr w:type="spellStart"/>
            <w:r w:rsidRPr="00917453">
              <w:rPr>
                <w:sz w:val="18"/>
                <w:szCs w:val="18"/>
              </w:rPr>
              <w:t>дБА</w:t>
            </w:r>
            <w:proofErr w:type="spellEnd"/>
            <w:r w:rsidRPr="00917453">
              <w:rPr>
                <w:sz w:val="18"/>
                <w:szCs w:val="18"/>
              </w:rPr>
              <w:t>. Облучатель-</w:t>
            </w:r>
            <w:proofErr w:type="spellStart"/>
            <w:r w:rsidRPr="00917453">
              <w:rPr>
                <w:sz w:val="18"/>
                <w:szCs w:val="18"/>
              </w:rPr>
              <w:t>рециркулятор</w:t>
            </w:r>
            <w:proofErr w:type="spellEnd"/>
            <w:r w:rsidRPr="00917453">
              <w:rPr>
                <w:sz w:val="18"/>
                <w:szCs w:val="18"/>
              </w:rPr>
              <w:t xml:space="preserve"> предназначен для обеззараживания воздуха помещений II–V категорий объемом до 50 м³ в лечебно-профилактических учреждениях в присутствии и отсутствии людей с помощью обеззараживания воздушного потока в процессе его циркуляции через корпус, внутри которого размещены две бактерицидные лампы низкого давления.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91745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141 500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6 084 500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917453" w:rsidRDefault="009D598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453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9" w:rsidRPr="00917453" w:rsidRDefault="008B1B91" w:rsidP="009D59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75 куб</w:t>
            </w:r>
            <w:r w:rsidR="009D5989"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5989" w:rsidRPr="00917453">
              <w:rPr>
                <w:sz w:val="18"/>
                <w:szCs w:val="18"/>
              </w:rPr>
              <w:t>Рециркулятор</w:t>
            </w:r>
            <w:proofErr w:type="spellEnd"/>
            <w:r w:rsidR="009D5989" w:rsidRPr="00917453">
              <w:rPr>
                <w:sz w:val="18"/>
                <w:szCs w:val="18"/>
              </w:rPr>
              <w:t xml:space="preserve"> предназначен для обеззараживания воздуха помещений 1-5 категорий объемом до 75 </w:t>
            </w:r>
            <w:proofErr w:type="spellStart"/>
            <w:r w:rsidR="009D5989" w:rsidRPr="00917453">
              <w:rPr>
                <w:sz w:val="18"/>
                <w:szCs w:val="18"/>
              </w:rPr>
              <w:t>куб.м</w:t>
            </w:r>
            <w:proofErr w:type="spellEnd"/>
            <w:r w:rsidR="009D5989" w:rsidRPr="00917453">
              <w:rPr>
                <w:sz w:val="18"/>
                <w:szCs w:val="18"/>
              </w:rPr>
              <w:t>. в лечебно-профилактических учреждениях в присутствии и отсутствии людей для подготовки помещений к функционированию с помощью обеззараживания воздушного потока в процессе его принудительной циркуляции через корпус, внутри которого размещены две бактерицидные лампы низкого давления 30W.</w:t>
            </w:r>
            <w:proofErr w:type="gramEnd"/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ОСНОВНЫЕ ТЕХНИЧЕСКИЕ ХАРАКТЕРИСТИКИ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1.Рециркулятор работает от сети переменного тока напряжением 220±22</w:t>
            </w:r>
            <w:proofErr w:type="gramStart"/>
            <w:r w:rsidRPr="00917453">
              <w:rPr>
                <w:sz w:val="18"/>
                <w:szCs w:val="18"/>
              </w:rPr>
              <w:t xml:space="preserve"> В</w:t>
            </w:r>
            <w:proofErr w:type="gramEnd"/>
            <w:r w:rsidRPr="00917453">
              <w:rPr>
                <w:sz w:val="18"/>
                <w:szCs w:val="18"/>
              </w:rPr>
              <w:t>, частотой 50 Гц.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2.Мощность, потребляемая </w:t>
            </w:r>
            <w:proofErr w:type="spellStart"/>
            <w:r w:rsidRPr="00917453">
              <w:rPr>
                <w:sz w:val="18"/>
                <w:szCs w:val="18"/>
              </w:rPr>
              <w:t>рециркулятором</w:t>
            </w:r>
            <w:proofErr w:type="spellEnd"/>
            <w:r w:rsidRPr="00917453">
              <w:rPr>
                <w:sz w:val="18"/>
                <w:szCs w:val="18"/>
              </w:rPr>
              <w:t xml:space="preserve"> от сети переменного тока, не более 200 ВА.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3.Облученность от источника </w:t>
            </w:r>
            <w:proofErr w:type="gramStart"/>
            <w:r w:rsidRPr="00917453">
              <w:rPr>
                <w:sz w:val="18"/>
                <w:szCs w:val="18"/>
              </w:rPr>
              <w:t>УФ-излучения</w:t>
            </w:r>
            <w:proofErr w:type="gramEnd"/>
            <w:r w:rsidRPr="00917453">
              <w:rPr>
                <w:sz w:val="18"/>
                <w:szCs w:val="18"/>
              </w:rPr>
              <w:t xml:space="preserve"> на расстоянии 1 м на длине волны в диапазоне 253,7 </w:t>
            </w:r>
            <w:proofErr w:type="spellStart"/>
            <w:r w:rsidRPr="00917453">
              <w:rPr>
                <w:sz w:val="18"/>
                <w:szCs w:val="18"/>
              </w:rPr>
              <w:t>нм</w:t>
            </w:r>
            <w:proofErr w:type="spellEnd"/>
            <w:r w:rsidRPr="00917453">
              <w:rPr>
                <w:sz w:val="18"/>
                <w:szCs w:val="18"/>
              </w:rPr>
              <w:t xml:space="preserve"> не менее 2 Вт/м кв. Источник УФ-излучения - две бактерицидные ртутные лампы низкого давления мощностью 30W, не образующие озон в процессе горения..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Для изготовления ламп применяется специальное стекло, обладающее высоким коэффициентом пропускания бактерицидных ультрафиолетовых лучей, и одновременно поглощающее </w:t>
            </w:r>
            <w:proofErr w:type="spellStart"/>
            <w:r w:rsidRPr="00917453">
              <w:rPr>
                <w:sz w:val="18"/>
                <w:szCs w:val="18"/>
              </w:rPr>
              <w:t>излучениениже</w:t>
            </w:r>
            <w:proofErr w:type="spellEnd"/>
            <w:r w:rsidRPr="00917453">
              <w:rPr>
                <w:sz w:val="18"/>
                <w:szCs w:val="18"/>
              </w:rPr>
              <w:t xml:space="preserve"> 200 </w:t>
            </w:r>
            <w:proofErr w:type="spellStart"/>
            <w:r w:rsidRPr="00917453">
              <w:rPr>
                <w:sz w:val="18"/>
                <w:szCs w:val="18"/>
              </w:rPr>
              <w:t>нм</w:t>
            </w:r>
            <w:proofErr w:type="spellEnd"/>
            <w:r w:rsidRPr="00917453">
              <w:rPr>
                <w:sz w:val="18"/>
                <w:szCs w:val="18"/>
              </w:rPr>
              <w:t>, образующее из воздуха озон. Благодаря этому фиксируется предельно малое образование озона (в пределах ПДК), которое исчезает полностью приблизительно через 100 часов работы лампы. Средний срок службы ламп при правильной эксплуатации и уходе не менее 9000 часов.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4.Время непрерывной работы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не более 7 суток. Перерыв между включениями не регламентирован.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5.Время выхода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на рабочий режим должно быть не более 1 мин.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6.По требованиям безопасности РБ-06-«Я-ФП» является изделием класса I тип В по ГОСТ </w:t>
            </w:r>
            <w:proofErr w:type="gramStart"/>
            <w:r w:rsidRPr="00917453">
              <w:rPr>
                <w:sz w:val="18"/>
                <w:szCs w:val="18"/>
              </w:rPr>
              <w:t>Р</w:t>
            </w:r>
            <w:proofErr w:type="gramEnd"/>
            <w:r w:rsidRPr="00917453">
              <w:rPr>
                <w:sz w:val="18"/>
                <w:szCs w:val="18"/>
              </w:rPr>
              <w:t xml:space="preserve"> 50267.0-92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7.Габаритные размеры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1200х145х175 мм.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8.Масса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6 кг.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9.Средняя наработка на отказ не менее 1500 часов.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>10.Средний срок службы не менее 5 лет.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11.Наружные поверхности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выполнены из металла, покрытого порошковой краской и </w:t>
            </w:r>
            <w:r w:rsidRPr="00917453">
              <w:rPr>
                <w:sz w:val="18"/>
                <w:szCs w:val="18"/>
              </w:rPr>
              <w:lastRenderedPageBreak/>
              <w:t>ударопрочного, химически стойкого поликарбоната и допускают дезинфекцию способом протирания дезинфицирующими средствами, зарегистрированными и разрешенными в РФ для дезинфекции поверхностей по режимам, регламентированным действующими документами по применению дезинфицирующих средств, утвержденными в установленном порядке.</w:t>
            </w:r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12.Условия эксплуатации </w:t>
            </w:r>
            <w:proofErr w:type="spellStart"/>
            <w:r w:rsidRPr="00917453">
              <w:rPr>
                <w:sz w:val="18"/>
                <w:szCs w:val="18"/>
              </w:rPr>
              <w:t>рециркулятора</w:t>
            </w:r>
            <w:proofErr w:type="spellEnd"/>
            <w:r w:rsidRPr="00917453">
              <w:rPr>
                <w:sz w:val="18"/>
                <w:szCs w:val="18"/>
              </w:rPr>
              <w:t xml:space="preserve"> соответствуют климатическому исполнению УХЛ 4.2 по ГОСТ </w:t>
            </w:r>
            <w:proofErr w:type="gramStart"/>
            <w:r w:rsidRPr="00917453">
              <w:rPr>
                <w:sz w:val="18"/>
                <w:szCs w:val="18"/>
              </w:rPr>
              <w:t>Р</w:t>
            </w:r>
            <w:proofErr w:type="gramEnd"/>
            <w:r w:rsidRPr="00917453">
              <w:rPr>
                <w:sz w:val="18"/>
                <w:szCs w:val="18"/>
              </w:rPr>
              <w:t xml:space="preserve"> 50444-92: температура от +10 С до + 35 C ; относительная влажность 80 % при температуре 25 С, давление - 630-800 мм. рт. Ст</w:t>
            </w:r>
            <w:proofErr w:type="gramStart"/>
            <w:r w:rsidRPr="00917453">
              <w:rPr>
                <w:sz w:val="18"/>
                <w:szCs w:val="18"/>
              </w:rPr>
              <w:t>..</w:t>
            </w:r>
            <w:proofErr w:type="gramEnd"/>
          </w:p>
          <w:p w:rsidR="009D5989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r w:rsidRPr="00917453">
              <w:rPr>
                <w:sz w:val="18"/>
                <w:szCs w:val="18"/>
              </w:rPr>
              <w:t xml:space="preserve">13.Общая выходная мощность воздушного потока (производительность) при номинальном напряжении - 90 куб. м/ час. Замеры проведены термоанемометром "TESTO-435" (№ 17273-01 в Государственном реестре средств измерений). Для обеспечения необходимой выходной мощности воздушного потока применен вентилятор с уровнем звуковой мощности не более 55 дБ.  </w:t>
            </w:r>
          </w:p>
          <w:p w:rsidR="008B1B91" w:rsidRPr="00917453" w:rsidRDefault="009D5989" w:rsidP="009D59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17453">
              <w:rPr>
                <w:sz w:val="18"/>
                <w:szCs w:val="18"/>
              </w:rPr>
              <w:t>Рециркулятор</w:t>
            </w:r>
            <w:proofErr w:type="spellEnd"/>
            <w:r w:rsidRPr="00917453">
              <w:rPr>
                <w:sz w:val="18"/>
                <w:szCs w:val="18"/>
              </w:rPr>
              <w:t xml:space="preserve"> предназначен для обеззараживания воздуха помещений I-V категорий объемом до 75 куб. м в лечебно-профилактических учреждениях в присутствии и отсутствии людей с помощью обеззараживания воздушного потока в процессе его принудительной циркуляции через корпус</w:t>
            </w:r>
            <w:proofErr w:type="gramStart"/>
            <w:r w:rsidRPr="00917453">
              <w:rPr>
                <w:sz w:val="18"/>
                <w:szCs w:val="18"/>
              </w:rPr>
              <w:t xml:space="preserve"> ,</w:t>
            </w:r>
            <w:proofErr w:type="gramEnd"/>
            <w:r w:rsidRPr="00917453">
              <w:rPr>
                <w:sz w:val="18"/>
                <w:szCs w:val="18"/>
              </w:rPr>
              <w:t xml:space="preserve"> внутри которого размещены две бактерицидные лампы низкого давления</w:t>
            </w:r>
            <w:r w:rsidR="00BC777A" w:rsidRPr="00917453">
              <w:rPr>
                <w:sz w:val="18"/>
                <w:szCs w:val="18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91745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91745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162 500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53">
              <w:rPr>
                <w:rFonts w:ascii="Times New Roman" w:eastAsia="Times New Roman" w:hAnsi="Times New Roman" w:cs="Times New Roman"/>
                <w:sz w:val="24"/>
                <w:szCs w:val="24"/>
              </w:rPr>
              <w:t>6 012 500</w:t>
            </w:r>
          </w:p>
        </w:tc>
      </w:tr>
      <w:tr w:rsidR="00D81655" w:rsidRPr="00D81655" w:rsidTr="0060404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720E2" w:rsidRPr="00D81655" w:rsidRDefault="009D5989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655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56" w:rsidRPr="00236656" w:rsidRDefault="00236656" w:rsidP="00236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измерения АД 50*14см со стетоскопом.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Предназначен для косвенного определения систолического и диастолического артериального давления путем измерения избыточного давления в манжете в момент появления и исчезновения тонов Короткова.</w:t>
            </w:r>
            <w:proofErr w:type="gramEnd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Механический тонометр, нейлоновая манжета, мягкий кейс для хранения.  </w:t>
            </w:r>
          </w:p>
          <w:p w:rsidR="00B720E2" w:rsidRPr="00236656" w:rsidRDefault="00236656" w:rsidP="00236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C8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Характеристики:</w:t>
            </w:r>
            <w:r w:rsidRPr="00236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манометр в металлическом или пластмассовом корпусе с двумя резиновыми соединительными трубками; размер манжеты: 50x14 см; диапазон показаний - 0/300 </w:t>
            </w:r>
            <w:proofErr w:type="spellStart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  <w:proofErr w:type="gramStart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т.ст</w:t>
            </w:r>
            <w:proofErr w:type="spellEnd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диапазон измерений - 60/300 </w:t>
            </w:r>
            <w:proofErr w:type="spellStart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мм.рт.ст</w:t>
            </w:r>
            <w:proofErr w:type="spellEnd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цена деления - 2 </w:t>
            </w:r>
            <w:proofErr w:type="spellStart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мм.рт.ст</w:t>
            </w:r>
            <w:proofErr w:type="spellEnd"/>
            <w:r w:rsidRPr="002366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</w:tcPr>
          <w:p w:rsidR="00B720E2" w:rsidRPr="00D81655" w:rsidRDefault="00B720E2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  <w:noWrap/>
          </w:tcPr>
          <w:p w:rsidR="00B720E2" w:rsidRPr="00D81655" w:rsidRDefault="00B720E2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  <w:shd w:val="clear" w:color="auto" w:fill="auto"/>
            <w:noWrap/>
          </w:tcPr>
          <w:p w:rsidR="00B720E2" w:rsidRPr="00D81655" w:rsidRDefault="00B720E2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9 900</w:t>
            </w:r>
          </w:p>
        </w:tc>
        <w:tc>
          <w:tcPr>
            <w:tcW w:w="1559" w:type="dxa"/>
            <w:shd w:val="clear" w:color="auto" w:fill="auto"/>
            <w:noWrap/>
          </w:tcPr>
          <w:p w:rsidR="00B720E2" w:rsidRPr="00D81655" w:rsidRDefault="00B720E2" w:rsidP="0060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655">
              <w:rPr>
                <w:rFonts w:ascii="Times New Roman" w:eastAsia="Times New Roman" w:hAnsi="Times New Roman" w:cs="Times New Roman"/>
                <w:sz w:val="24"/>
                <w:szCs w:val="24"/>
              </w:rPr>
              <w:t>396 000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8B1B9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 Петри одноразовые стерильные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0A49D1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1 612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6 125 600</w:t>
            </w:r>
          </w:p>
        </w:tc>
      </w:tr>
      <w:tr w:rsidR="008B1B91" w:rsidRPr="00FC5A71" w:rsidTr="00021E5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B1B91" w:rsidRPr="00FC5A71" w:rsidRDefault="008B1B9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91" w:rsidRPr="00E60B93" w:rsidRDefault="008B1B91" w:rsidP="00E5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УЗИ по 5 литров</w:t>
            </w:r>
            <w:r w:rsidR="0072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канистре</w:t>
            </w:r>
          </w:p>
        </w:tc>
        <w:tc>
          <w:tcPr>
            <w:tcW w:w="1145" w:type="dxa"/>
            <w:shd w:val="clear" w:color="auto" w:fill="auto"/>
            <w:noWrap/>
          </w:tcPr>
          <w:p w:rsidR="008B1B91" w:rsidRPr="00E60B93" w:rsidRDefault="008B1B91" w:rsidP="005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1123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59" w:type="dxa"/>
            <w:shd w:val="clear" w:color="auto" w:fill="auto"/>
            <w:noWrap/>
          </w:tcPr>
          <w:p w:rsidR="008B1B91" w:rsidRPr="00E60B93" w:rsidRDefault="008B1B91" w:rsidP="00E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93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B1B91" w:rsidRPr="00806D36" w:rsidTr="00F75421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:rsidR="008B1B91" w:rsidRPr="00FC5A71" w:rsidRDefault="008B1B91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B1B91" w:rsidRPr="00351E0A" w:rsidRDefault="00351E0A" w:rsidP="003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71 404 200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D572A0" w:rsidRPr="004F6235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583349" w:rsidRPr="004F6235">
        <w:rPr>
          <w:sz w:val="22"/>
          <w:szCs w:val="22"/>
        </w:rPr>
        <w:t>1</w:t>
      </w:r>
      <w:r w:rsidR="00452D34" w:rsidRPr="00452D34">
        <w:rPr>
          <w:sz w:val="22"/>
          <w:szCs w:val="22"/>
        </w:rPr>
        <w:t>2</w:t>
      </w:r>
      <w:bookmarkStart w:id="2" w:name="_GoBack"/>
      <w:bookmarkEnd w:id="2"/>
      <w:r w:rsidR="008063C9" w:rsidRPr="004F6235">
        <w:rPr>
          <w:sz w:val="22"/>
          <w:szCs w:val="22"/>
        </w:rPr>
        <w:t xml:space="preserve">» </w:t>
      </w:r>
      <w:r w:rsidR="00583349" w:rsidRPr="004F6235">
        <w:rPr>
          <w:sz w:val="22"/>
          <w:szCs w:val="22"/>
        </w:rPr>
        <w:t>января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D572A0" w:rsidRPr="004F6235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583349" w:rsidRPr="004F6235">
        <w:rPr>
          <w:rFonts w:ascii="Times New Roman" w:hAnsi="Times New Roman"/>
        </w:rPr>
        <w:t>1</w:t>
      </w:r>
      <w:r w:rsidR="00452D34" w:rsidRPr="00452D34">
        <w:rPr>
          <w:rFonts w:ascii="Times New Roman" w:hAnsi="Times New Roman"/>
        </w:rPr>
        <w:t>2</w:t>
      </w:r>
      <w:r w:rsidR="008063C9" w:rsidRPr="004F6235">
        <w:rPr>
          <w:rFonts w:ascii="Times New Roman" w:hAnsi="Times New Roman"/>
        </w:rPr>
        <w:t>» я</w:t>
      </w:r>
      <w:r w:rsidR="00583349" w:rsidRPr="004F6235">
        <w:rPr>
          <w:rFonts w:ascii="Times New Roman" w:hAnsi="Times New Roman"/>
        </w:rPr>
        <w:t>нваря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lastRenderedPageBreak/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65" w:rsidRDefault="00327465" w:rsidP="0093557B">
      <w:pPr>
        <w:spacing w:after="0" w:line="240" w:lineRule="auto"/>
      </w:pPr>
      <w:r>
        <w:separator/>
      </w:r>
    </w:p>
  </w:endnote>
  <w:endnote w:type="continuationSeparator" w:id="0">
    <w:p w:rsidR="00327465" w:rsidRDefault="00327465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65" w:rsidRDefault="00327465" w:rsidP="0093557B">
      <w:pPr>
        <w:spacing w:after="0" w:line="240" w:lineRule="auto"/>
      </w:pPr>
      <w:r>
        <w:separator/>
      </w:r>
    </w:p>
  </w:footnote>
  <w:footnote w:type="continuationSeparator" w:id="0">
    <w:p w:rsidR="00327465" w:rsidRDefault="00327465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32556"/>
    <w:rsid w:val="000377DC"/>
    <w:rsid w:val="00043896"/>
    <w:rsid w:val="000449ED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D76E3"/>
    <w:rsid w:val="004E2928"/>
    <w:rsid w:val="004E4DA0"/>
    <w:rsid w:val="004E7A1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D2DD7"/>
    <w:rsid w:val="005E0ECD"/>
    <w:rsid w:val="005E51DD"/>
    <w:rsid w:val="005E5D90"/>
    <w:rsid w:val="005F2F40"/>
    <w:rsid w:val="005F5A4C"/>
    <w:rsid w:val="005F7763"/>
    <w:rsid w:val="006017F6"/>
    <w:rsid w:val="00616629"/>
    <w:rsid w:val="00621A1B"/>
    <w:rsid w:val="00623E49"/>
    <w:rsid w:val="00625A86"/>
    <w:rsid w:val="0063225B"/>
    <w:rsid w:val="00635763"/>
    <w:rsid w:val="006518EB"/>
    <w:rsid w:val="00651CC8"/>
    <w:rsid w:val="00651FB1"/>
    <w:rsid w:val="0065287D"/>
    <w:rsid w:val="00656E01"/>
    <w:rsid w:val="006575C3"/>
    <w:rsid w:val="00661D7C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40E4F"/>
    <w:rsid w:val="00844675"/>
    <w:rsid w:val="00855004"/>
    <w:rsid w:val="008556BB"/>
    <w:rsid w:val="00855FA6"/>
    <w:rsid w:val="008606F4"/>
    <w:rsid w:val="0086307F"/>
    <w:rsid w:val="00877006"/>
    <w:rsid w:val="0088420E"/>
    <w:rsid w:val="0088570C"/>
    <w:rsid w:val="00894259"/>
    <w:rsid w:val="00895FC8"/>
    <w:rsid w:val="008974E7"/>
    <w:rsid w:val="008A12B9"/>
    <w:rsid w:val="008A509F"/>
    <w:rsid w:val="008B0EA8"/>
    <w:rsid w:val="008B1B91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4261A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28A"/>
    <w:rsid w:val="00F33AC1"/>
    <w:rsid w:val="00F33F33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DD22E-7923-4440-A590-EC8BCEF0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2022-01-10T06:59:00Z</cp:lastPrinted>
  <dcterms:created xsi:type="dcterms:W3CDTF">2022-01-12T06:13:00Z</dcterms:created>
  <dcterms:modified xsi:type="dcterms:W3CDTF">2022-01-18T09:00:00Z</dcterms:modified>
</cp:coreProperties>
</file>